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5FA1" w14:textId="77777777" w:rsidR="00EC1CEC" w:rsidRPr="00EC1CEC" w:rsidRDefault="00EC1CEC" w:rsidP="00EC1CEC">
      <w:pPr>
        <w:spacing w:after="0" w:line="240" w:lineRule="auto"/>
        <w:rPr>
          <w:rFonts w:ascii="Calibri" w:eastAsia="Times New Roman" w:hAnsi="Calibri" w:cs="Calibri"/>
          <w:color w:val="000000"/>
          <w:kern w:val="0"/>
          <w:sz w:val="22"/>
          <w:szCs w:val="22"/>
          <w:lang w:eastAsia="en-GB"/>
          <w14:ligatures w14:val="none"/>
        </w:rPr>
      </w:pPr>
      <w:r w:rsidRPr="00EC1CEC">
        <w:rPr>
          <w:rFonts w:ascii="Calibri" w:eastAsia="Times New Roman" w:hAnsi="Calibri" w:cs="Calibri"/>
          <w:b/>
          <w:bCs/>
          <w:color w:val="000000"/>
          <w:kern w:val="0"/>
          <w:sz w:val="22"/>
          <w:szCs w:val="22"/>
          <w:lang w:eastAsia="en-GB"/>
          <w14:ligatures w14:val="none"/>
        </w:rPr>
        <w:t>From:</w:t>
      </w:r>
      <w:r w:rsidRPr="00EC1CEC">
        <w:rPr>
          <w:rFonts w:ascii="Calibri" w:eastAsia="Times New Roman" w:hAnsi="Calibri" w:cs="Calibri"/>
          <w:color w:val="000000"/>
          <w:kern w:val="0"/>
          <w:sz w:val="22"/>
          <w:szCs w:val="22"/>
          <w:lang w:eastAsia="en-GB"/>
          <w14:ligatures w14:val="none"/>
        </w:rPr>
        <w:t> Andy Cutcher &lt;</w:t>
      </w:r>
      <w:hyperlink r:id="rId4" w:tgtFrame="_blank" w:history="1">
        <w:r w:rsidRPr="00EC1CEC">
          <w:rPr>
            <w:rFonts w:ascii="Calibri" w:eastAsia="Times New Roman" w:hAnsi="Calibri" w:cs="Calibri"/>
            <w:color w:val="0000FF"/>
            <w:kern w:val="0"/>
            <w:sz w:val="22"/>
            <w:szCs w:val="22"/>
            <w:u w:val="single"/>
            <w:lang w:eastAsia="en-GB"/>
            <w14:ligatures w14:val="none"/>
          </w:rPr>
          <w:t>andy.cutcher@btinternet.com</w:t>
        </w:r>
      </w:hyperlink>
      <w:r w:rsidRPr="00EC1CEC">
        <w:rPr>
          <w:rFonts w:ascii="Calibri" w:eastAsia="Times New Roman" w:hAnsi="Calibri" w:cs="Calibri"/>
          <w:color w:val="000000"/>
          <w:kern w:val="0"/>
          <w:sz w:val="22"/>
          <w:szCs w:val="22"/>
          <w:lang w:eastAsia="en-GB"/>
          <w14:ligatures w14:val="none"/>
        </w:rPr>
        <w:t>&gt;</w:t>
      </w:r>
      <w:r w:rsidRPr="00EC1CEC">
        <w:rPr>
          <w:rFonts w:ascii="Calibri" w:eastAsia="Times New Roman" w:hAnsi="Calibri" w:cs="Calibri"/>
          <w:color w:val="000000"/>
          <w:kern w:val="0"/>
          <w:sz w:val="22"/>
          <w:szCs w:val="22"/>
          <w:lang w:eastAsia="en-GB"/>
          <w14:ligatures w14:val="none"/>
        </w:rPr>
        <w:br/>
      </w:r>
      <w:r w:rsidRPr="00EC1CEC">
        <w:rPr>
          <w:rFonts w:ascii="Calibri" w:eastAsia="Times New Roman" w:hAnsi="Calibri" w:cs="Calibri"/>
          <w:b/>
          <w:bCs/>
          <w:color w:val="000000"/>
          <w:kern w:val="0"/>
          <w:sz w:val="22"/>
          <w:szCs w:val="22"/>
          <w:lang w:eastAsia="en-GB"/>
          <w14:ligatures w14:val="none"/>
        </w:rPr>
        <w:t>Sent:</w:t>
      </w:r>
      <w:r w:rsidRPr="00EC1CEC">
        <w:rPr>
          <w:rFonts w:ascii="Calibri" w:eastAsia="Times New Roman" w:hAnsi="Calibri" w:cs="Calibri"/>
          <w:color w:val="000000"/>
          <w:kern w:val="0"/>
          <w:sz w:val="22"/>
          <w:szCs w:val="22"/>
          <w:lang w:eastAsia="en-GB"/>
          <w14:ligatures w14:val="none"/>
        </w:rPr>
        <w:t> Monday, February 12, 2024 10:26 AM</w:t>
      </w:r>
      <w:r w:rsidRPr="00EC1CEC">
        <w:rPr>
          <w:rFonts w:ascii="Calibri" w:eastAsia="Times New Roman" w:hAnsi="Calibri" w:cs="Calibri"/>
          <w:color w:val="000000"/>
          <w:kern w:val="0"/>
          <w:sz w:val="22"/>
          <w:szCs w:val="22"/>
          <w:lang w:eastAsia="en-GB"/>
          <w14:ligatures w14:val="none"/>
        </w:rPr>
        <w:br/>
      </w:r>
      <w:r w:rsidRPr="00EC1CEC">
        <w:rPr>
          <w:rFonts w:ascii="Calibri" w:eastAsia="Times New Roman" w:hAnsi="Calibri" w:cs="Calibri"/>
          <w:b/>
          <w:bCs/>
          <w:color w:val="000000"/>
          <w:kern w:val="0"/>
          <w:sz w:val="22"/>
          <w:szCs w:val="22"/>
          <w:lang w:eastAsia="en-GB"/>
          <w14:ligatures w14:val="none"/>
        </w:rPr>
        <w:t>To:</w:t>
      </w:r>
      <w:r w:rsidRPr="00EC1CEC">
        <w:rPr>
          <w:rFonts w:ascii="Calibri" w:eastAsia="Times New Roman" w:hAnsi="Calibri" w:cs="Calibri"/>
          <w:color w:val="000000"/>
          <w:kern w:val="0"/>
          <w:sz w:val="22"/>
          <w:szCs w:val="22"/>
          <w:lang w:eastAsia="en-GB"/>
          <w14:ligatures w14:val="none"/>
        </w:rPr>
        <w:t> Planning Policy Team &lt;</w:t>
      </w:r>
      <w:hyperlink r:id="rId5" w:tgtFrame="_blank" w:history="1">
        <w:r w:rsidRPr="00EC1CEC">
          <w:rPr>
            <w:rFonts w:ascii="Calibri" w:eastAsia="Times New Roman" w:hAnsi="Calibri" w:cs="Calibri"/>
            <w:color w:val="0000FF"/>
            <w:kern w:val="0"/>
            <w:sz w:val="22"/>
            <w:szCs w:val="22"/>
            <w:u w:val="single"/>
            <w:lang w:eastAsia="en-GB"/>
            <w14:ligatures w14:val="none"/>
          </w:rPr>
          <w:t>Planning.PolicyTeam@breckland.gov.uk</w:t>
        </w:r>
      </w:hyperlink>
      <w:r w:rsidRPr="00EC1CEC">
        <w:rPr>
          <w:rFonts w:ascii="Calibri" w:eastAsia="Times New Roman" w:hAnsi="Calibri" w:cs="Calibri"/>
          <w:color w:val="000000"/>
          <w:kern w:val="0"/>
          <w:sz w:val="22"/>
          <w:szCs w:val="22"/>
          <w:lang w:eastAsia="en-GB"/>
          <w14:ligatures w14:val="none"/>
        </w:rPr>
        <w:t>&gt;</w:t>
      </w:r>
      <w:r w:rsidRPr="00EC1CEC">
        <w:rPr>
          <w:rFonts w:ascii="Calibri" w:eastAsia="Times New Roman" w:hAnsi="Calibri" w:cs="Calibri"/>
          <w:color w:val="000000"/>
          <w:kern w:val="0"/>
          <w:sz w:val="22"/>
          <w:szCs w:val="22"/>
          <w:lang w:eastAsia="en-GB"/>
          <w14:ligatures w14:val="none"/>
        </w:rPr>
        <w:br/>
      </w:r>
      <w:r w:rsidRPr="00EC1CEC">
        <w:rPr>
          <w:rFonts w:ascii="Calibri" w:eastAsia="Times New Roman" w:hAnsi="Calibri" w:cs="Calibri"/>
          <w:b/>
          <w:bCs/>
          <w:color w:val="000000"/>
          <w:kern w:val="0"/>
          <w:sz w:val="22"/>
          <w:szCs w:val="22"/>
          <w:lang w:eastAsia="en-GB"/>
          <w14:ligatures w14:val="none"/>
        </w:rPr>
        <w:t>Subject:</w:t>
      </w:r>
      <w:r w:rsidRPr="00EC1CEC">
        <w:rPr>
          <w:rFonts w:ascii="Calibri" w:eastAsia="Times New Roman" w:hAnsi="Calibri" w:cs="Calibri"/>
          <w:color w:val="000000"/>
          <w:kern w:val="0"/>
          <w:sz w:val="22"/>
          <w:szCs w:val="22"/>
          <w:lang w:eastAsia="en-GB"/>
          <w14:ligatures w14:val="none"/>
        </w:rPr>
        <w:t> </w:t>
      </w:r>
      <w:proofErr w:type="spellStart"/>
      <w:r w:rsidRPr="00EC1CEC">
        <w:rPr>
          <w:rFonts w:ascii="Calibri" w:eastAsia="Times New Roman" w:hAnsi="Calibri" w:cs="Calibri"/>
          <w:color w:val="000000"/>
          <w:kern w:val="0"/>
          <w:sz w:val="22"/>
          <w:szCs w:val="22"/>
          <w:lang w:eastAsia="en-GB"/>
          <w14:ligatures w14:val="none"/>
        </w:rPr>
        <w:t>Breckland</w:t>
      </w:r>
      <w:proofErr w:type="spellEnd"/>
      <w:r w:rsidRPr="00EC1CEC">
        <w:rPr>
          <w:rFonts w:ascii="Calibri" w:eastAsia="Times New Roman" w:hAnsi="Calibri" w:cs="Calibri"/>
          <w:color w:val="000000"/>
          <w:kern w:val="0"/>
          <w:sz w:val="22"/>
          <w:szCs w:val="22"/>
          <w:lang w:eastAsia="en-GB"/>
          <w14:ligatures w14:val="none"/>
        </w:rPr>
        <w:t xml:space="preserve"> Local Plan comment submission. Latest consultation (Deadline 19th February 2024)</w:t>
      </w:r>
    </w:p>
    <w:p w14:paraId="55866C8B" w14:textId="77777777" w:rsidR="00EC1CEC" w:rsidRPr="00EC1CEC" w:rsidRDefault="00EC1CEC" w:rsidP="00EC1CEC">
      <w:pPr>
        <w:spacing w:after="0" w:line="240" w:lineRule="auto"/>
        <w:rPr>
          <w:rFonts w:ascii="Calibri" w:eastAsia="Times New Roman" w:hAnsi="Calibri" w:cs="Calibri"/>
          <w:color w:val="000000"/>
          <w:kern w:val="0"/>
          <w:sz w:val="22"/>
          <w:szCs w:val="22"/>
          <w:lang w:eastAsia="en-GB"/>
          <w14:ligatures w14:val="none"/>
        </w:rPr>
      </w:pPr>
      <w:r w:rsidRPr="00EC1CEC">
        <w:rPr>
          <w:rFonts w:ascii="Calibri" w:eastAsia="Times New Roman" w:hAnsi="Calibri" w:cs="Calibri"/>
          <w:color w:val="000000"/>
          <w:kern w:val="0"/>
          <w:sz w:val="22"/>
          <w:szCs w:val="22"/>
          <w:lang w:eastAsia="en-GB"/>
          <w14:ligatures w14:val="none"/>
        </w:rPr>
        <w:t> </w:t>
      </w:r>
    </w:p>
    <w:p w14:paraId="20FEEE29"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egoe UI" w:eastAsia="Times New Roman" w:hAnsi="Segoe UI" w:cs="Segoe UI"/>
          <w:color w:val="000000"/>
          <w:kern w:val="0"/>
          <w:sz w:val="20"/>
          <w:szCs w:val="20"/>
          <w:lang w:eastAsia="en-GB"/>
          <w14:ligatures w14:val="none"/>
        </w:rPr>
        <w:t>Dear Sir or Madam</w:t>
      </w:r>
    </w:p>
    <w:p w14:paraId="6F035051"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egoe UI" w:eastAsia="Times New Roman" w:hAnsi="Segoe UI" w:cs="Segoe UI"/>
          <w:color w:val="000000"/>
          <w:kern w:val="0"/>
          <w:sz w:val="20"/>
          <w:szCs w:val="20"/>
          <w:lang w:eastAsia="en-GB"/>
          <w14:ligatures w14:val="none"/>
        </w:rPr>
        <w:t xml:space="preserve">On behalf of </w:t>
      </w:r>
      <w:proofErr w:type="spellStart"/>
      <w:r w:rsidRPr="00EC1CEC">
        <w:rPr>
          <w:rFonts w:ascii="Segoe UI" w:eastAsia="Times New Roman" w:hAnsi="Segoe UI" w:cs="Segoe UI"/>
          <w:color w:val="000000"/>
          <w:kern w:val="0"/>
          <w:sz w:val="20"/>
          <w:szCs w:val="20"/>
          <w:lang w:eastAsia="en-GB"/>
          <w14:ligatures w14:val="none"/>
        </w:rPr>
        <w:t>Billingford</w:t>
      </w:r>
      <w:proofErr w:type="spellEnd"/>
      <w:r w:rsidRPr="00EC1CEC">
        <w:rPr>
          <w:rFonts w:ascii="Segoe UI" w:eastAsia="Times New Roman" w:hAnsi="Segoe UI" w:cs="Segoe UI"/>
          <w:color w:val="000000"/>
          <w:kern w:val="0"/>
          <w:sz w:val="20"/>
          <w:szCs w:val="20"/>
          <w:lang w:eastAsia="en-GB"/>
          <w14:ligatures w14:val="none"/>
        </w:rPr>
        <w:t xml:space="preserve"> Parish Council and in relation to the further consultation exercise currently being carried out on the </w:t>
      </w:r>
      <w:proofErr w:type="spellStart"/>
      <w:r w:rsidRPr="00EC1CEC">
        <w:rPr>
          <w:rFonts w:ascii="Segoe UI" w:eastAsia="Times New Roman" w:hAnsi="Segoe UI" w:cs="Segoe UI"/>
          <w:color w:val="000000"/>
          <w:kern w:val="0"/>
          <w:sz w:val="20"/>
          <w:szCs w:val="20"/>
          <w:lang w:eastAsia="en-GB"/>
          <w14:ligatures w14:val="none"/>
        </w:rPr>
        <w:t>Breckland</w:t>
      </w:r>
      <w:proofErr w:type="spellEnd"/>
      <w:r w:rsidRPr="00EC1CEC">
        <w:rPr>
          <w:rFonts w:ascii="Segoe UI" w:eastAsia="Times New Roman" w:hAnsi="Segoe UI" w:cs="Segoe UI"/>
          <w:color w:val="000000"/>
          <w:kern w:val="0"/>
          <w:sz w:val="20"/>
          <w:szCs w:val="20"/>
          <w:lang w:eastAsia="en-GB"/>
          <w14:ligatures w14:val="none"/>
        </w:rPr>
        <w:t xml:space="preserve"> Local Plan, we would like to make the following observations and have them recorded as our official responses. I would be grateful if you would acknowledge receipt of this email.</w:t>
      </w:r>
    </w:p>
    <w:p w14:paraId="6D2D20D2"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ource Sans Pro" w:eastAsia="Times New Roman" w:hAnsi="Source Sans Pro" w:cs="Segoe UI"/>
          <w:b/>
          <w:bCs/>
          <w:color w:val="333333"/>
          <w:kern w:val="0"/>
          <w:sz w:val="20"/>
          <w:szCs w:val="20"/>
          <w:lang w:eastAsia="en-GB"/>
          <w14:ligatures w14:val="none"/>
        </w:rPr>
        <w:t>Alternative development strategy options:</w:t>
      </w:r>
    </w:p>
    <w:p w14:paraId="7750F99E"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egoe UI" w:eastAsia="Times New Roman" w:hAnsi="Segoe UI" w:cs="Segoe UI"/>
          <w:b/>
          <w:bCs/>
          <w:color w:val="000000"/>
          <w:kern w:val="0"/>
          <w:sz w:val="20"/>
          <w:szCs w:val="20"/>
          <w:lang w:eastAsia="en-GB"/>
          <w14:ligatures w14:val="none"/>
        </w:rPr>
        <w:t>Option A Market Town Focus</w:t>
      </w:r>
      <w:r w:rsidRPr="00EC1CEC">
        <w:rPr>
          <w:rFonts w:ascii="Segoe UI" w:eastAsia="Times New Roman" w:hAnsi="Segoe UI" w:cs="Segoe UI"/>
          <w:color w:val="000000"/>
          <w:kern w:val="0"/>
          <w:sz w:val="20"/>
          <w:szCs w:val="20"/>
          <w:lang w:eastAsia="en-GB"/>
          <w14:ligatures w14:val="none"/>
        </w:rPr>
        <w:t> is our preferred option with 80% of new homes developed here and 20% allocated to local service centres with the other options in the following order of preference:</w:t>
      </w:r>
    </w:p>
    <w:p w14:paraId="788520CD"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egoe UI" w:eastAsia="Times New Roman" w:hAnsi="Segoe UI" w:cs="Segoe UI"/>
          <w:color w:val="000000"/>
          <w:kern w:val="0"/>
          <w:sz w:val="20"/>
          <w:szCs w:val="20"/>
          <w:lang w:eastAsia="en-GB"/>
          <w14:ligatures w14:val="none"/>
        </w:rPr>
        <w:t>Option C Maximise strategic sites</w:t>
      </w:r>
    </w:p>
    <w:p w14:paraId="264842CC"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egoe UI" w:eastAsia="Times New Roman" w:hAnsi="Segoe UI" w:cs="Segoe UI"/>
          <w:color w:val="000000"/>
          <w:kern w:val="0"/>
          <w:sz w:val="20"/>
          <w:szCs w:val="20"/>
          <w:lang w:eastAsia="en-GB"/>
          <w14:ligatures w14:val="none"/>
        </w:rPr>
        <w:t>Option F Maximise strategic site and urban rural split (including Villages with Boundaries)</w:t>
      </w:r>
    </w:p>
    <w:p w14:paraId="3D375C5C"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egoe UI" w:eastAsia="Times New Roman" w:hAnsi="Segoe UI" w:cs="Segoe UI"/>
          <w:color w:val="000000"/>
          <w:kern w:val="0"/>
          <w:sz w:val="20"/>
          <w:szCs w:val="20"/>
          <w:lang w:eastAsia="en-GB"/>
          <w14:ligatures w14:val="none"/>
        </w:rPr>
        <w:t>Option D Maximise strategic sites and Urban/Rural split</w:t>
      </w:r>
    </w:p>
    <w:p w14:paraId="0FDEFD82"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egoe UI" w:eastAsia="Times New Roman" w:hAnsi="Segoe UI" w:cs="Segoe UI"/>
          <w:color w:val="000000"/>
          <w:kern w:val="0"/>
          <w:sz w:val="20"/>
          <w:szCs w:val="20"/>
          <w:lang w:eastAsia="en-GB"/>
          <w14:ligatures w14:val="none"/>
        </w:rPr>
        <w:t>Option E Urban/Rural split including village with boundaries</w:t>
      </w:r>
    </w:p>
    <w:p w14:paraId="78B00DA9"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egoe UI" w:eastAsia="Times New Roman" w:hAnsi="Segoe UI" w:cs="Segoe UI"/>
          <w:color w:val="000000"/>
          <w:kern w:val="0"/>
          <w:sz w:val="20"/>
          <w:szCs w:val="20"/>
          <w:lang w:eastAsia="en-GB"/>
          <w14:ligatures w14:val="none"/>
        </w:rPr>
        <w:t>Option B Urban/Rural split</w:t>
      </w:r>
    </w:p>
    <w:p w14:paraId="1508F765"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egoe UI" w:eastAsia="Times New Roman" w:hAnsi="Segoe UI" w:cs="Segoe UI"/>
          <w:color w:val="000000"/>
          <w:kern w:val="0"/>
          <w:sz w:val="20"/>
          <w:szCs w:val="20"/>
          <w:lang w:eastAsia="en-GB"/>
          <w14:ligatures w14:val="none"/>
        </w:rPr>
        <w:t>We believe some limited small-scale growth is desirable for some rural settlements, especially for truly affordable housing.</w:t>
      </w:r>
    </w:p>
    <w:p w14:paraId="14079FDB"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egoe UI" w:eastAsia="Times New Roman" w:hAnsi="Segoe UI" w:cs="Segoe UI"/>
          <w:color w:val="000000"/>
          <w:kern w:val="0"/>
          <w:sz w:val="20"/>
          <w:szCs w:val="20"/>
          <w:lang w:eastAsia="en-GB"/>
          <w14:ligatures w14:val="none"/>
        </w:rPr>
        <w:t>Redevelopment of the Abbey Estate in Thetford would be desirable for regeneration.</w:t>
      </w:r>
    </w:p>
    <w:p w14:paraId="038C56F3"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egoe UI" w:eastAsia="Times New Roman" w:hAnsi="Segoe UI" w:cs="Segoe UI"/>
          <w:color w:val="000000"/>
          <w:kern w:val="0"/>
          <w:sz w:val="20"/>
          <w:szCs w:val="20"/>
          <w:lang w:eastAsia="en-GB"/>
          <w14:ligatures w14:val="none"/>
        </w:rPr>
        <w:t>We have concerns about just how ‘brown’ the Strategic Brownfield site at Swanton Morley Barracks is and just how fitted it is as a site for massed new housing, given its location, lack of transport links and employment opportunities.</w:t>
      </w:r>
    </w:p>
    <w:p w14:paraId="39F05935"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ource Sans Pro" w:eastAsia="Times New Roman" w:hAnsi="Source Sans Pro" w:cs="Segoe UI"/>
          <w:b/>
          <w:bCs/>
          <w:color w:val="333333"/>
          <w:kern w:val="0"/>
          <w:sz w:val="20"/>
          <w:szCs w:val="20"/>
          <w:lang w:eastAsia="en-GB"/>
          <w14:ligatures w14:val="none"/>
        </w:rPr>
        <w:t>Sustaining</w:t>
      </w:r>
      <w:r w:rsidRPr="00EC1CEC">
        <w:rPr>
          <w:rFonts w:ascii="Segoe UI" w:eastAsia="Times New Roman" w:hAnsi="Segoe UI" w:cs="Segoe UI"/>
          <w:b/>
          <w:bCs/>
          <w:color w:val="000000"/>
          <w:kern w:val="0"/>
          <w:sz w:val="20"/>
          <w:szCs w:val="20"/>
          <w:lang w:eastAsia="en-GB"/>
          <w14:ligatures w14:val="none"/>
        </w:rPr>
        <w:t> </w:t>
      </w:r>
      <w:r w:rsidRPr="00EC1CEC">
        <w:rPr>
          <w:rFonts w:ascii="Source Sans Pro" w:eastAsia="Times New Roman" w:hAnsi="Source Sans Pro" w:cs="Segoe UI"/>
          <w:b/>
          <w:bCs/>
          <w:color w:val="333333"/>
          <w:kern w:val="0"/>
          <w:sz w:val="20"/>
          <w:szCs w:val="20"/>
          <w:lang w:eastAsia="en-GB"/>
          <w14:ligatures w14:val="none"/>
        </w:rPr>
        <w:t>rural community services:</w:t>
      </w:r>
    </w:p>
    <w:p w14:paraId="549B112E"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ource Sans Pro" w:eastAsia="Times New Roman" w:hAnsi="Source Sans Pro" w:cs="Segoe UI"/>
          <w:b/>
          <w:bCs/>
          <w:color w:val="333333"/>
          <w:kern w:val="0"/>
          <w:sz w:val="20"/>
          <w:szCs w:val="20"/>
          <w:lang w:eastAsia="en-GB"/>
          <w14:ligatures w14:val="none"/>
        </w:rPr>
        <w:t>Do you agree with the methodology for deciding which parishes should be Local Service Centres</w:t>
      </w:r>
      <w:r w:rsidRPr="00EC1CEC">
        <w:rPr>
          <w:rFonts w:ascii="Source Sans Pro" w:eastAsia="Times New Roman" w:hAnsi="Source Sans Pro" w:cs="Segoe UI"/>
          <w:b/>
          <w:bCs/>
          <w:color w:val="000000"/>
          <w:kern w:val="0"/>
          <w:sz w:val="36"/>
          <w:szCs w:val="36"/>
          <w:lang w:eastAsia="en-GB"/>
          <w14:ligatures w14:val="none"/>
        </w:rPr>
        <w:t>?</w:t>
      </w:r>
    </w:p>
    <w:p w14:paraId="5BEF0420"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egoe UI" w:eastAsia="Times New Roman" w:hAnsi="Segoe UI" w:cs="Segoe UI"/>
          <w:b/>
          <w:bCs/>
          <w:color w:val="000000"/>
          <w:kern w:val="0"/>
          <w:sz w:val="20"/>
          <w:szCs w:val="20"/>
          <w:lang w:eastAsia="en-GB"/>
          <w14:ligatures w14:val="none"/>
        </w:rPr>
        <w:t>Yes</w:t>
      </w:r>
    </w:p>
    <w:p w14:paraId="7B7E2779"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egoe UI" w:eastAsia="Times New Roman" w:hAnsi="Segoe UI" w:cs="Segoe UI"/>
          <w:color w:val="000000"/>
          <w:kern w:val="0"/>
          <w:sz w:val="20"/>
          <w:szCs w:val="20"/>
          <w:lang w:eastAsia="en-GB"/>
          <w14:ligatures w14:val="none"/>
        </w:rPr>
        <w:t>The Local Service Centre definition of a parish that has five key elements – a primary school, a village shop, public transport, a community facility (such as a village hall, pub, restaurant or cafe) and employment still seems appropriate. To a lesser extent reliable and adequate internet access is also required</w:t>
      </w:r>
    </w:p>
    <w:p w14:paraId="31BD43B8"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egoe UI" w:eastAsia="Times New Roman" w:hAnsi="Segoe UI" w:cs="Segoe UI"/>
          <w:color w:val="000000"/>
          <w:kern w:val="0"/>
          <w:sz w:val="20"/>
          <w:szCs w:val="20"/>
          <w:lang w:eastAsia="en-GB"/>
          <w14:ligatures w14:val="none"/>
        </w:rPr>
        <w:t> </w:t>
      </w:r>
    </w:p>
    <w:p w14:paraId="44DBBFF0"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ource Sans Pro" w:eastAsia="Times New Roman" w:hAnsi="Source Sans Pro" w:cs="Segoe UI"/>
          <w:b/>
          <w:bCs/>
          <w:color w:val="333333"/>
          <w:kern w:val="0"/>
          <w:sz w:val="20"/>
          <w:szCs w:val="20"/>
          <w:lang w:eastAsia="en-GB"/>
          <w14:ligatures w14:val="none"/>
        </w:rPr>
        <w:t>Potential development sites:</w:t>
      </w:r>
    </w:p>
    <w:p w14:paraId="3D5F28B6"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ource Sans Pro" w:eastAsia="Times New Roman" w:hAnsi="Source Sans Pro" w:cs="Segoe UI"/>
          <w:b/>
          <w:bCs/>
          <w:color w:val="333333"/>
          <w:kern w:val="0"/>
          <w:sz w:val="20"/>
          <w:szCs w:val="20"/>
          <w:lang w:eastAsia="en-GB"/>
          <w14:ligatures w14:val="none"/>
        </w:rPr>
        <w:t xml:space="preserve">Do you agree with </w:t>
      </w:r>
      <w:proofErr w:type="gramStart"/>
      <w:r w:rsidRPr="00EC1CEC">
        <w:rPr>
          <w:rFonts w:ascii="Source Sans Pro" w:eastAsia="Times New Roman" w:hAnsi="Source Sans Pro" w:cs="Segoe UI"/>
          <w:b/>
          <w:bCs/>
          <w:color w:val="333333"/>
          <w:kern w:val="0"/>
          <w:sz w:val="20"/>
          <w:szCs w:val="20"/>
          <w:lang w:eastAsia="en-GB"/>
          <w14:ligatures w14:val="none"/>
        </w:rPr>
        <w:t>this new criteria</w:t>
      </w:r>
      <w:proofErr w:type="gramEnd"/>
      <w:r w:rsidRPr="00EC1CEC">
        <w:rPr>
          <w:rFonts w:ascii="Source Sans Pro" w:eastAsia="Times New Roman" w:hAnsi="Source Sans Pro" w:cs="Segoe UI"/>
          <w:b/>
          <w:bCs/>
          <w:color w:val="333333"/>
          <w:kern w:val="0"/>
          <w:sz w:val="20"/>
          <w:szCs w:val="20"/>
          <w:lang w:eastAsia="en-GB"/>
          <w14:ligatures w14:val="none"/>
        </w:rPr>
        <w:t xml:space="preserve"> for assessing sites?</w:t>
      </w:r>
    </w:p>
    <w:p w14:paraId="06A9B5BF"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egoe UI" w:eastAsia="Times New Roman" w:hAnsi="Segoe UI" w:cs="Segoe UI"/>
          <w:b/>
          <w:bCs/>
          <w:color w:val="000000"/>
          <w:kern w:val="0"/>
          <w:sz w:val="20"/>
          <w:szCs w:val="20"/>
          <w:lang w:eastAsia="en-GB"/>
          <w14:ligatures w14:val="none"/>
        </w:rPr>
        <w:lastRenderedPageBreak/>
        <w:t>Yes</w:t>
      </w:r>
    </w:p>
    <w:p w14:paraId="37AE1BE1"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egoe UI" w:eastAsia="Times New Roman" w:hAnsi="Segoe UI" w:cs="Segoe UI"/>
          <w:color w:val="000000"/>
          <w:kern w:val="0"/>
          <w:sz w:val="20"/>
          <w:szCs w:val="20"/>
          <w:lang w:eastAsia="en-GB"/>
          <w14:ligatures w14:val="none"/>
        </w:rPr>
        <w:t xml:space="preserve">But the colour coding is very coarse; for </w:t>
      </w:r>
      <w:proofErr w:type="gramStart"/>
      <w:r w:rsidRPr="00EC1CEC">
        <w:rPr>
          <w:rFonts w:ascii="Segoe UI" w:eastAsia="Times New Roman" w:hAnsi="Segoe UI" w:cs="Segoe UI"/>
          <w:color w:val="000000"/>
          <w:kern w:val="0"/>
          <w:sz w:val="20"/>
          <w:szCs w:val="20"/>
          <w:lang w:eastAsia="en-GB"/>
          <w14:ligatures w14:val="none"/>
        </w:rPr>
        <w:t>example</w:t>
      </w:r>
      <w:proofErr w:type="gramEnd"/>
      <w:r w:rsidRPr="00EC1CEC">
        <w:rPr>
          <w:rFonts w:ascii="Segoe UI" w:eastAsia="Times New Roman" w:hAnsi="Segoe UI" w:cs="Segoe UI"/>
          <w:color w:val="000000"/>
          <w:kern w:val="0"/>
          <w:sz w:val="20"/>
          <w:szCs w:val="20"/>
          <w:lang w:eastAsia="en-GB"/>
          <w14:ligatures w14:val="none"/>
        </w:rPr>
        <w:t xml:space="preserve"> ‘suitable access to roads’ does not seem to differentiate sufficiently between A or B roads, nor perhaps even C roads or the distance to them. </w:t>
      </w:r>
      <w:proofErr w:type="gramStart"/>
      <w:r w:rsidRPr="00EC1CEC">
        <w:rPr>
          <w:rFonts w:ascii="Segoe UI" w:eastAsia="Times New Roman" w:hAnsi="Segoe UI" w:cs="Segoe UI"/>
          <w:color w:val="000000"/>
          <w:kern w:val="0"/>
          <w:sz w:val="20"/>
          <w:szCs w:val="20"/>
          <w:lang w:eastAsia="en-GB"/>
          <w14:ligatures w14:val="none"/>
        </w:rPr>
        <w:t>Likewise</w:t>
      </w:r>
      <w:proofErr w:type="gramEnd"/>
      <w:r w:rsidRPr="00EC1CEC">
        <w:rPr>
          <w:rFonts w:ascii="Segoe UI" w:eastAsia="Times New Roman" w:hAnsi="Segoe UI" w:cs="Segoe UI"/>
          <w:color w:val="000000"/>
          <w:kern w:val="0"/>
          <w:sz w:val="20"/>
          <w:szCs w:val="20"/>
          <w:lang w:eastAsia="en-GB"/>
          <w14:ligatures w14:val="none"/>
        </w:rPr>
        <w:t xml:space="preserve"> what is a true Brownfield site? You refer to Swanton Morley Barracks as Brownfield when the majority of its surface area is grass (once Europe’s largest grass airstrip), so this kind of colour coding is just a very loose first tier of guidance. We are also concerned that such a large potential development (at Swanton Morley) could have considerable negative impacts upon the highly protected River Wensum which lies just a few hundred metres from this site.</w:t>
      </w:r>
    </w:p>
    <w:p w14:paraId="2D70691F"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egoe UI" w:eastAsia="Times New Roman" w:hAnsi="Segoe UI" w:cs="Segoe UI"/>
          <w:color w:val="000000"/>
          <w:kern w:val="0"/>
          <w:sz w:val="20"/>
          <w:szCs w:val="20"/>
          <w:lang w:eastAsia="en-GB"/>
          <w14:ligatures w14:val="none"/>
        </w:rPr>
        <w:t> </w:t>
      </w:r>
    </w:p>
    <w:p w14:paraId="4C7D90B2"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ource Sans Pro" w:eastAsia="Times New Roman" w:hAnsi="Source Sans Pro" w:cs="Segoe UI"/>
          <w:b/>
          <w:bCs/>
          <w:color w:val="333333"/>
          <w:kern w:val="0"/>
          <w:sz w:val="20"/>
          <w:szCs w:val="20"/>
          <w:lang w:eastAsia="en-GB"/>
          <w14:ligatures w14:val="none"/>
        </w:rPr>
        <w:t>Towns, Villages and Countryside:</w:t>
      </w:r>
    </w:p>
    <w:p w14:paraId="0824CC9E"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ource Sans Pro" w:eastAsia="Times New Roman" w:hAnsi="Source Sans Pro" w:cs="Segoe UI"/>
          <w:b/>
          <w:bCs/>
          <w:color w:val="333333"/>
          <w:kern w:val="0"/>
          <w:sz w:val="20"/>
          <w:szCs w:val="20"/>
          <w:lang w:eastAsia="en-GB"/>
          <w14:ligatures w14:val="none"/>
        </w:rPr>
        <w:t xml:space="preserve">Should </w:t>
      </w:r>
      <w:proofErr w:type="spellStart"/>
      <w:r w:rsidRPr="00EC1CEC">
        <w:rPr>
          <w:rFonts w:ascii="Source Sans Pro" w:eastAsia="Times New Roman" w:hAnsi="Source Sans Pro" w:cs="Segoe UI"/>
          <w:b/>
          <w:bCs/>
          <w:color w:val="333333"/>
          <w:kern w:val="0"/>
          <w:sz w:val="20"/>
          <w:szCs w:val="20"/>
          <w:lang w:eastAsia="en-GB"/>
          <w14:ligatures w14:val="none"/>
        </w:rPr>
        <w:t>Breckland</w:t>
      </w:r>
      <w:proofErr w:type="spellEnd"/>
      <w:r w:rsidRPr="00EC1CEC">
        <w:rPr>
          <w:rFonts w:ascii="Source Sans Pro" w:eastAsia="Times New Roman" w:hAnsi="Source Sans Pro" w:cs="Segoe UI"/>
          <w:b/>
          <w:bCs/>
          <w:color w:val="333333"/>
          <w:kern w:val="0"/>
          <w:sz w:val="20"/>
          <w:szCs w:val="20"/>
          <w:lang w:eastAsia="en-GB"/>
          <w14:ligatures w14:val="none"/>
        </w:rPr>
        <w:t xml:space="preserve"> continue with a settlement boundary approach or develop a robust criteria-based policy?</w:t>
      </w:r>
    </w:p>
    <w:p w14:paraId="06CA759C"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egoe UI" w:eastAsia="Times New Roman" w:hAnsi="Segoe UI" w:cs="Segoe UI"/>
          <w:b/>
          <w:bCs/>
          <w:color w:val="000000"/>
          <w:kern w:val="0"/>
          <w:sz w:val="20"/>
          <w:szCs w:val="20"/>
          <w:lang w:eastAsia="en-GB"/>
          <w14:ligatures w14:val="none"/>
        </w:rPr>
        <w:t>Yes</w:t>
      </w:r>
    </w:p>
    <w:p w14:paraId="200E9B98"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egoe UI" w:eastAsia="Times New Roman" w:hAnsi="Segoe UI" w:cs="Segoe UI"/>
          <w:color w:val="000000"/>
          <w:kern w:val="0"/>
          <w:sz w:val="20"/>
          <w:szCs w:val="20"/>
          <w:lang w:eastAsia="en-GB"/>
          <w14:ligatures w14:val="none"/>
        </w:rPr>
        <w:t>It should continue with this approach otherwise we can foresee a ‘free for all’ increase in speculative development outside of village boundaries and that there is sufficient flexibility within the current planning laws where exceptional circumstances exist.</w:t>
      </w:r>
    </w:p>
    <w:p w14:paraId="6B73D95A"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egoe UI" w:eastAsia="Times New Roman" w:hAnsi="Segoe UI" w:cs="Segoe UI"/>
          <w:color w:val="000000"/>
          <w:kern w:val="0"/>
          <w:sz w:val="20"/>
          <w:szCs w:val="20"/>
          <w:lang w:eastAsia="en-GB"/>
          <w14:ligatures w14:val="none"/>
        </w:rPr>
        <w:t xml:space="preserve">By abolishing settlement </w:t>
      </w:r>
      <w:proofErr w:type="gramStart"/>
      <w:r w:rsidRPr="00EC1CEC">
        <w:rPr>
          <w:rFonts w:ascii="Segoe UI" w:eastAsia="Times New Roman" w:hAnsi="Segoe UI" w:cs="Segoe UI"/>
          <w:color w:val="000000"/>
          <w:kern w:val="0"/>
          <w:sz w:val="20"/>
          <w:szCs w:val="20"/>
          <w:lang w:eastAsia="en-GB"/>
          <w14:ligatures w14:val="none"/>
        </w:rPr>
        <w:t>boundaries</w:t>
      </w:r>
      <w:proofErr w:type="gramEnd"/>
      <w:r w:rsidRPr="00EC1CEC">
        <w:rPr>
          <w:rFonts w:ascii="Segoe UI" w:eastAsia="Times New Roman" w:hAnsi="Segoe UI" w:cs="Segoe UI"/>
          <w:color w:val="000000"/>
          <w:kern w:val="0"/>
          <w:sz w:val="20"/>
          <w:szCs w:val="20"/>
          <w:lang w:eastAsia="en-GB"/>
          <w14:ligatures w14:val="none"/>
        </w:rPr>
        <w:t xml:space="preserve"> it is likely that sites for much-needed affordable housing schemes in rural exception sites are less likely to come forward than at present. This is because once land on the edges of settlements has the potential for other development, land values will increase, and landowners will understandably keep these sites for more profitable market housing.</w:t>
      </w:r>
    </w:p>
    <w:p w14:paraId="5666484E"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egoe UI" w:eastAsia="Times New Roman" w:hAnsi="Segoe UI" w:cs="Segoe UI"/>
          <w:color w:val="000000"/>
          <w:kern w:val="0"/>
          <w:sz w:val="20"/>
          <w:szCs w:val="20"/>
          <w:lang w:eastAsia="en-GB"/>
          <w14:ligatures w14:val="none"/>
        </w:rPr>
        <w:t> </w:t>
      </w:r>
    </w:p>
    <w:p w14:paraId="2CF0C6DB"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egoe UI" w:eastAsia="Times New Roman" w:hAnsi="Segoe UI" w:cs="Segoe UI"/>
          <w:color w:val="000000"/>
          <w:kern w:val="0"/>
          <w:sz w:val="20"/>
          <w:szCs w:val="20"/>
          <w:lang w:eastAsia="en-GB"/>
          <w14:ligatures w14:val="none"/>
        </w:rPr>
        <w:t>Yours faithfully</w:t>
      </w:r>
    </w:p>
    <w:p w14:paraId="2C099654"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egoe UI" w:eastAsia="Times New Roman" w:hAnsi="Segoe UI" w:cs="Segoe UI"/>
          <w:color w:val="000000"/>
          <w:kern w:val="0"/>
          <w:sz w:val="20"/>
          <w:szCs w:val="20"/>
          <w:lang w:eastAsia="en-GB"/>
          <w14:ligatures w14:val="none"/>
        </w:rPr>
        <w:t>Andy Cutcher</w:t>
      </w:r>
    </w:p>
    <w:p w14:paraId="06D8D508" w14:textId="77777777" w:rsidR="00EC1CEC" w:rsidRPr="00EC1CEC" w:rsidRDefault="00EC1CEC" w:rsidP="00EC1CEC">
      <w:pPr>
        <w:spacing w:after="240" w:line="240" w:lineRule="auto"/>
        <w:rPr>
          <w:rFonts w:ascii="Segoe UI" w:eastAsia="Times New Roman" w:hAnsi="Segoe UI" w:cs="Segoe UI"/>
          <w:color w:val="000000"/>
          <w:kern w:val="0"/>
          <w:sz w:val="20"/>
          <w:szCs w:val="20"/>
          <w:lang w:eastAsia="en-GB"/>
          <w14:ligatures w14:val="none"/>
        </w:rPr>
      </w:pPr>
      <w:r w:rsidRPr="00EC1CEC">
        <w:rPr>
          <w:rFonts w:ascii="Segoe UI" w:eastAsia="Times New Roman" w:hAnsi="Segoe UI" w:cs="Segoe UI"/>
          <w:color w:val="000000"/>
          <w:kern w:val="0"/>
          <w:sz w:val="20"/>
          <w:szCs w:val="20"/>
          <w:lang w:eastAsia="en-GB"/>
          <w14:ligatures w14:val="none"/>
        </w:rPr>
        <w:t xml:space="preserve">Planning Lead for New Town proposal and </w:t>
      </w:r>
      <w:proofErr w:type="spellStart"/>
      <w:r w:rsidRPr="00EC1CEC">
        <w:rPr>
          <w:rFonts w:ascii="Segoe UI" w:eastAsia="Times New Roman" w:hAnsi="Segoe UI" w:cs="Segoe UI"/>
          <w:color w:val="000000"/>
          <w:kern w:val="0"/>
          <w:sz w:val="20"/>
          <w:szCs w:val="20"/>
          <w:lang w:eastAsia="en-GB"/>
          <w14:ligatures w14:val="none"/>
        </w:rPr>
        <w:t>Breckland</w:t>
      </w:r>
      <w:proofErr w:type="spellEnd"/>
      <w:r w:rsidRPr="00EC1CEC">
        <w:rPr>
          <w:rFonts w:ascii="Segoe UI" w:eastAsia="Times New Roman" w:hAnsi="Segoe UI" w:cs="Segoe UI"/>
          <w:color w:val="000000"/>
          <w:kern w:val="0"/>
          <w:sz w:val="20"/>
          <w:szCs w:val="20"/>
          <w:lang w:eastAsia="en-GB"/>
          <w14:ligatures w14:val="none"/>
        </w:rPr>
        <w:t xml:space="preserve"> Local Plan, </w:t>
      </w:r>
      <w:proofErr w:type="spellStart"/>
      <w:r w:rsidRPr="00EC1CEC">
        <w:rPr>
          <w:rFonts w:ascii="Segoe UI" w:eastAsia="Times New Roman" w:hAnsi="Segoe UI" w:cs="Segoe UI"/>
          <w:color w:val="000000"/>
          <w:kern w:val="0"/>
          <w:sz w:val="20"/>
          <w:szCs w:val="20"/>
          <w:lang w:eastAsia="en-GB"/>
          <w14:ligatures w14:val="none"/>
        </w:rPr>
        <w:t>Billingford</w:t>
      </w:r>
      <w:proofErr w:type="spellEnd"/>
      <w:r w:rsidRPr="00EC1CEC">
        <w:rPr>
          <w:rFonts w:ascii="Segoe UI" w:eastAsia="Times New Roman" w:hAnsi="Segoe UI" w:cs="Segoe UI"/>
          <w:color w:val="000000"/>
          <w:kern w:val="0"/>
          <w:sz w:val="20"/>
          <w:szCs w:val="20"/>
          <w:lang w:eastAsia="en-GB"/>
          <w14:ligatures w14:val="none"/>
        </w:rPr>
        <w:t xml:space="preserve"> Parish Council</w:t>
      </w:r>
    </w:p>
    <w:p w14:paraId="47715671" w14:textId="77777777" w:rsidR="00EC1CEC" w:rsidRPr="00EC1CEC" w:rsidRDefault="00EC1CEC" w:rsidP="00EC1CEC">
      <w:pPr>
        <w:spacing w:after="240" w:line="240" w:lineRule="auto"/>
        <w:rPr>
          <w:rFonts w:ascii="Calibri" w:eastAsia="Times New Roman" w:hAnsi="Calibri" w:cs="Calibri"/>
          <w:color w:val="000000"/>
          <w:kern w:val="0"/>
          <w:sz w:val="22"/>
          <w:szCs w:val="22"/>
          <w:lang w:eastAsia="en-GB"/>
          <w14:ligatures w14:val="none"/>
        </w:rPr>
      </w:pPr>
    </w:p>
    <w:p w14:paraId="789356C1" w14:textId="77777777" w:rsidR="004D5F1C" w:rsidRDefault="004D5F1C"/>
    <w:sectPr w:rsidR="004D5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EC"/>
    <w:rsid w:val="004D5F1C"/>
    <w:rsid w:val="00EC1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0E92"/>
  <w15:chartTrackingRefBased/>
  <w15:docId w15:val="{2732378B-286F-41C5-B4C9-5DDF69B4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1CEC"/>
    <w:rPr>
      <w:color w:val="0000FF"/>
      <w:u w:val="single"/>
    </w:rPr>
  </w:style>
  <w:style w:type="paragraph" w:styleId="NormalWeb">
    <w:name w:val="Normal (Web)"/>
    <w:basedOn w:val="Normal"/>
    <w:uiPriority w:val="99"/>
    <w:semiHidden/>
    <w:unhideWhenUsed/>
    <w:rsid w:val="00EC1CEC"/>
    <w:pPr>
      <w:spacing w:before="100" w:beforeAutospacing="1" w:after="100" w:afterAutospacing="1" w:line="240" w:lineRule="auto"/>
    </w:pPr>
    <w:rPr>
      <w:rFonts w:eastAsia="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485392">
      <w:bodyDiv w:val="1"/>
      <w:marLeft w:val="0"/>
      <w:marRight w:val="0"/>
      <w:marTop w:val="0"/>
      <w:marBottom w:val="0"/>
      <w:divBdr>
        <w:top w:val="none" w:sz="0" w:space="0" w:color="auto"/>
        <w:left w:val="none" w:sz="0" w:space="0" w:color="auto"/>
        <w:bottom w:val="none" w:sz="0" w:space="0" w:color="auto"/>
        <w:right w:val="none" w:sz="0" w:space="0" w:color="auto"/>
      </w:divBdr>
      <w:divsChild>
        <w:div w:id="1228030356">
          <w:marLeft w:val="0"/>
          <w:marRight w:val="0"/>
          <w:marTop w:val="0"/>
          <w:marBottom w:val="0"/>
          <w:divBdr>
            <w:top w:val="none" w:sz="0" w:space="0" w:color="auto"/>
            <w:left w:val="none" w:sz="0" w:space="0" w:color="auto"/>
            <w:bottom w:val="none" w:sz="0" w:space="0" w:color="auto"/>
            <w:right w:val="none" w:sz="0" w:space="0" w:color="auto"/>
          </w:divBdr>
          <w:divsChild>
            <w:div w:id="14883272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lanning.PolicyTeam@breckland.gov.uk" TargetMode="External"/><Relationship Id="rId4" Type="http://schemas.openxmlformats.org/officeDocument/2006/relationships/hyperlink" Target="mailto:andy.cutch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Griselda Hubbard</dc:creator>
  <cp:keywords/>
  <dc:description/>
  <cp:lastModifiedBy>Griselda Hubbard</cp:lastModifiedBy>
  <cp:revision>1</cp:revision>
  <dcterms:created xsi:type="dcterms:W3CDTF">2024-02-24T16:21:00Z</dcterms:created>
  <dcterms:modified xsi:type="dcterms:W3CDTF">2024-02-24T16:22:00Z</dcterms:modified>
</cp:coreProperties>
</file>